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A55A9">
      <w:pPr>
        <w:jc w:val="center"/>
      </w:pPr>
      <w:r>
        <w:rPr>
          <w:b/>
          <w:bCs/>
        </w:rPr>
        <w:t>2026 (28th) China Mining Conference and Exhibition</w:t>
      </w:r>
      <w:r>
        <w:br w:type="textWrapping"/>
      </w:r>
      <w:r>
        <w:rPr>
          <w:rFonts w:hint="eastAsia"/>
          <w:b/>
          <w:bCs/>
        </w:rPr>
        <w:t>Mineral</w:t>
      </w:r>
      <w:r>
        <w:rPr>
          <w:b/>
          <w:bCs/>
        </w:rPr>
        <w:t xml:space="preserve"> Rights Trading Session – Participation Documents</w:t>
      </w:r>
    </w:p>
    <w:p w14:paraId="23750758">
      <w:pPr>
        <w:jc w:val="center"/>
        <w:rPr>
          <w:b/>
          <w:bCs/>
        </w:rPr>
      </w:pPr>
      <w:r>
        <w:rPr>
          <w:b/>
          <w:bCs/>
        </w:rPr>
        <w:t>CONFIDENTIALITY LETTER</w:t>
      </w:r>
    </w:p>
    <w:p w14:paraId="5BA7715E">
      <w:r>
        <w:t>To: China Mining Association and Relevant Institutions</w:t>
      </w:r>
    </w:p>
    <w:p w14:paraId="41B4F80B">
      <w:r>
        <w:t xml:space="preserve">The undersigned entity/individual (hereinafter referred to as the "Disclosing Party") has decided to participate in the 2026 (28th) China Mining Conference and Exhibition – </w:t>
      </w:r>
      <w:r>
        <w:rPr>
          <w:rFonts w:hint="eastAsia"/>
        </w:rPr>
        <w:t>Mineral</w:t>
      </w:r>
      <w:r>
        <w:t xml:space="preserve"> Rights Trading Session (hereinafter referred to as the "Conference"). In accordance with the Conference requirements, applicable regulations, and industry practices, the Disclosing Party hereby provides the following notice regarding confidentiality matters:</w:t>
      </w:r>
    </w:p>
    <w:p w14:paraId="569C901E">
      <w:pPr>
        <w:rPr>
          <w:b/>
          <w:bCs/>
        </w:rPr>
      </w:pPr>
      <w:r>
        <w:rPr>
          <w:b/>
          <w:bCs/>
        </w:rPr>
        <w:t>I. Compliance with the Conference Confidentiality Requirements</w:t>
      </w:r>
    </w:p>
    <w:p w14:paraId="4F51ABBC">
      <w:pPr>
        <w:rPr>
          <w:b/>
          <w:bCs/>
        </w:rPr>
      </w:pPr>
      <w:r>
        <w:rPr>
          <w:b/>
          <w:bCs/>
        </w:rPr>
        <w:t>1. Scope of Confidential Information</w:t>
      </w:r>
    </w:p>
    <w:p w14:paraId="0B36272A">
      <w:r>
        <w:t xml:space="preserve">During the registration process, participation in the Conference, and post-conference communications (collectively, the "Participation Period"), all non-public information obtained, accessed, or received by the Disclosing Party from the Conference, whether orally, in writing, electronically, through observation, or by any other means, as well as any information designated as "Confidential" during the </w:t>
      </w:r>
      <w:r>
        <w:rPr>
          <w:rFonts w:hint="eastAsia"/>
        </w:rPr>
        <w:t>Mineral</w:t>
      </w:r>
      <w:r>
        <w:t xml:space="preserve"> Rights Trading Session or which should reasonably be considered confidential, shall constitute Conference Confidential Information.</w:t>
      </w:r>
    </w:p>
    <w:p w14:paraId="37891DE5">
      <w:pPr>
        <w:rPr>
          <w:b/>
          <w:bCs/>
        </w:rPr>
      </w:pPr>
      <w:r>
        <w:rPr>
          <w:b/>
          <w:bCs/>
        </w:rPr>
        <w:t>2. Confidentiality Obligations</w:t>
      </w:r>
    </w:p>
    <w:p w14:paraId="224CB768">
      <w:r>
        <w:t>The Disclosing Party shall maintain the confidentiality of all Conference Confidential Information and undertakes that:</w:t>
      </w:r>
    </w:p>
    <w:p w14:paraId="7424C2C1">
      <w:pPr>
        <w:numPr>
          <w:ilvl w:val="0"/>
          <w:numId w:val="1"/>
        </w:numPr>
      </w:pPr>
      <w:r>
        <w:t>Such information shall be used solely for the purposes of participating in the Conference and related communications and only within the extent reasonably necessary for internal use;</w:t>
      </w:r>
    </w:p>
    <w:p w14:paraId="41506C3C">
      <w:pPr>
        <w:numPr>
          <w:ilvl w:val="0"/>
          <w:numId w:val="1"/>
        </w:numPr>
      </w:pPr>
      <w:r>
        <w:t>Without the prior written consent of the Conference organizers or the relevant rights holder, the Disclosing Party shall not disclose, divulge, transfer, reproduce, or disseminate any Conference Confidential Information to any third party;</w:t>
      </w:r>
    </w:p>
    <w:p w14:paraId="45551908">
      <w:pPr>
        <w:numPr>
          <w:ilvl w:val="0"/>
          <w:numId w:val="1"/>
        </w:numPr>
      </w:pPr>
      <w:r>
        <w:t>The Disclosing Party shall not use Conference Confidential Information for any commercial purpose or for any purpose unrelated to participation in the Conference.</w:t>
      </w:r>
    </w:p>
    <w:p w14:paraId="6CAE1C93">
      <w:pPr>
        <w:rPr>
          <w:b/>
          <w:bCs/>
        </w:rPr>
      </w:pPr>
      <w:r>
        <w:rPr>
          <w:b/>
          <w:bCs/>
        </w:rPr>
        <w:t>3. Confidentiality Period</w:t>
      </w:r>
    </w:p>
    <w:p w14:paraId="6E8B16FB">
      <w:r>
        <w:t>The confidentiality obligations set forth herein shall become effective upon execution of this Confidentiality Letter and shall survive the conclusion of the Conference until the relevant Conference Confidential Information lawfully enters the public domain.</w:t>
      </w:r>
    </w:p>
    <w:p w14:paraId="68FD8475">
      <w:pPr>
        <w:rPr>
          <w:b/>
          <w:bCs/>
        </w:rPr>
      </w:pPr>
      <w:r>
        <w:rPr>
          <w:b/>
          <w:bCs/>
        </w:rPr>
        <w:t>II. Request for Protection of the Disclosing Party's Confidential Information</w:t>
      </w:r>
    </w:p>
    <w:p w14:paraId="60CF5E49">
      <w:pPr>
        <w:rPr>
          <w:b/>
          <w:bCs/>
        </w:rPr>
      </w:pPr>
      <w:r>
        <w:rPr>
          <w:b/>
          <w:bCs/>
        </w:rPr>
        <w:t>1. Declaration of Confidential Information</w:t>
      </w:r>
    </w:p>
    <w:p w14:paraId="10541007">
      <w:r>
        <w:t xml:space="preserve">The </w:t>
      </w:r>
      <w:r>
        <w:rPr>
          <w:rFonts w:hint="eastAsia"/>
        </w:rPr>
        <w:t>Disclosing Party</w:t>
      </w:r>
      <w:r>
        <w:t xml:space="preserve"> hereby confirms that the application materials submitted on this occasion contain the organisation’s trade secrets, technical secrets or other information requiring confidentiality, and shall set out the confidential content in the table below. </w:t>
      </w:r>
      <w:r>
        <w:rPr>
          <w:rFonts w:hint="eastAsia"/>
        </w:rPr>
        <w:t xml:space="preserve"> </w:t>
      </w:r>
      <w:r>
        <w:t>Should the volume of information be excessive, a further table may be attached to this confidentiality letter.</w:t>
      </w:r>
      <w:r>
        <w:rPr>
          <w:rFonts w:hint="eastAsia"/>
        </w:rPr>
        <w:t xml:space="preserve"> </w:t>
      </w:r>
      <w:r>
        <w:t xml:space="preserve"> Failure to submit the table below shall be deemed to indicate that the application materials submitted by the </w:t>
      </w:r>
      <w:r>
        <w:rPr>
          <w:rFonts w:hint="eastAsia"/>
        </w:rPr>
        <w:t>Disclosing Party</w:t>
      </w:r>
      <w:r>
        <w:t xml:space="preserve"> contain no confidential information.</w:t>
      </w:r>
    </w:p>
    <w:p w14:paraId="0AF061A9">
      <w:pPr>
        <w:jc w:val="center"/>
        <w:rPr>
          <w:b/>
          <w:bCs/>
        </w:rPr>
      </w:pPr>
      <w:r>
        <w:rPr>
          <w:b/>
          <w:bCs/>
        </w:rPr>
        <w:t>Form for Confidential Information and Data Masking in Application Materials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
        <w:gridCol w:w="1635"/>
        <w:gridCol w:w="1928"/>
        <w:gridCol w:w="2195"/>
        <w:gridCol w:w="2662"/>
      </w:tblGrid>
      <w:tr w14:paraId="7288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dxa"/>
          </w:tcPr>
          <w:p w14:paraId="7FF112E5">
            <w:pPr>
              <w:spacing w:after="0" w:line="240" w:lineRule="auto"/>
              <w:jc w:val="center"/>
              <w:rPr>
                <w:b/>
                <w:bCs/>
              </w:rPr>
            </w:pPr>
            <w:r>
              <w:rPr>
                <w:b/>
                <w:bCs/>
              </w:rPr>
              <w:t>No.</w:t>
            </w:r>
          </w:p>
        </w:tc>
        <w:tc>
          <w:tcPr>
            <w:tcW w:w="1635" w:type="dxa"/>
          </w:tcPr>
          <w:p w14:paraId="5E6EE13D">
            <w:pPr>
              <w:spacing w:after="0" w:line="240" w:lineRule="auto"/>
              <w:jc w:val="center"/>
              <w:rPr>
                <w:b/>
                <w:bCs/>
              </w:rPr>
            </w:pPr>
            <w:r>
              <w:rPr>
                <w:b/>
                <w:bCs/>
              </w:rPr>
              <w:t>Document Name</w:t>
            </w:r>
          </w:p>
        </w:tc>
        <w:tc>
          <w:tcPr>
            <w:tcW w:w="1928" w:type="dxa"/>
            <w:vAlign w:val="center"/>
          </w:tcPr>
          <w:p w14:paraId="5EC3B959">
            <w:pPr>
              <w:spacing w:after="0" w:line="240" w:lineRule="auto"/>
              <w:jc w:val="center"/>
              <w:rPr>
                <w:b/>
                <w:bCs/>
              </w:rPr>
            </w:pPr>
            <w:r>
              <w:rPr>
                <w:b/>
                <w:bCs/>
              </w:rPr>
              <w:t>Description of Confidential Information</w:t>
            </w:r>
          </w:p>
        </w:tc>
        <w:tc>
          <w:tcPr>
            <w:tcW w:w="2195" w:type="dxa"/>
          </w:tcPr>
          <w:p w14:paraId="15AA8385">
            <w:pPr>
              <w:spacing w:after="0" w:line="240" w:lineRule="auto"/>
              <w:jc w:val="center"/>
              <w:rPr>
                <w:b/>
                <w:bCs/>
              </w:rPr>
            </w:pPr>
            <w:r>
              <w:rPr>
                <w:b/>
                <w:bCs/>
              </w:rPr>
              <w:t>Redaction Method Applied</w:t>
            </w:r>
          </w:p>
        </w:tc>
        <w:tc>
          <w:tcPr>
            <w:tcW w:w="2662" w:type="dxa"/>
          </w:tcPr>
          <w:p w14:paraId="49844647">
            <w:pPr>
              <w:spacing w:after="0" w:line="240" w:lineRule="auto"/>
              <w:jc w:val="center"/>
              <w:rPr>
                <w:b/>
                <w:bCs/>
              </w:rPr>
            </w:pPr>
            <w:r>
              <w:rPr>
                <w:b/>
                <w:bCs/>
              </w:rPr>
              <w:t>Remarks (Confidential Information Remaining After Redaction)</w:t>
            </w:r>
          </w:p>
        </w:tc>
      </w:tr>
      <w:tr w14:paraId="6575E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dxa"/>
          </w:tcPr>
          <w:p w14:paraId="0C8A7795">
            <w:pPr>
              <w:spacing w:after="0" w:line="240" w:lineRule="auto"/>
              <w:jc w:val="center"/>
              <w:rPr>
                <w:b/>
                <w:bCs/>
              </w:rPr>
            </w:pPr>
            <w:r>
              <w:t>1</w:t>
            </w:r>
          </w:p>
        </w:tc>
        <w:tc>
          <w:tcPr>
            <w:tcW w:w="1635" w:type="dxa"/>
          </w:tcPr>
          <w:p w14:paraId="371A5424">
            <w:pPr>
              <w:spacing w:after="0" w:line="240" w:lineRule="auto"/>
              <w:rPr>
                <w:b/>
                <w:bCs/>
              </w:rPr>
            </w:pPr>
            <w:r>
              <w:t>(Example) Business License</w:t>
            </w:r>
          </w:p>
        </w:tc>
        <w:tc>
          <w:tcPr>
            <w:tcW w:w="1928" w:type="dxa"/>
            <w:vAlign w:val="center"/>
          </w:tcPr>
          <w:p w14:paraId="081AA7B9">
            <w:pPr>
              <w:spacing w:after="0" w:line="240" w:lineRule="auto"/>
              <w:rPr>
                <w:b/>
                <w:bCs/>
              </w:rPr>
            </w:pPr>
            <w:r>
              <w:t>Unified Social Credit Code; Legal Representative's Identification Number</w:t>
            </w:r>
          </w:p>
        </w:tc>
        <w:tc>
          <w:tcPr>
            <w:tcW w:w="2195" w:type="dxa"/>
            <w:vAlign w:val="center"/>
          </w:tcPr>
          <w:p w14:paraId="01A111FE">
            <w:pPr>
              <w:spacing w:after="0" w:line="240" w:lineRule="auto"/>
              <w:rPr>
                <w:b/>
                <w:bCs/>
              </w:rPr>
            </w:pPr>
            <w:r>
              <w:t>Certain code fields replaced with "*" symbols; birth-date section of identification number removed</w:t>
            </w:r>
          </w:p>
        </w:tc>
        <w:tc>
          <w:tcPr>
            <w:tcW w:w="2662" w:type="dxa"/>
          </w:tcPr>
          <w:p w14:paraId="1B3BF014">
            <w:pPr>
              <w:spacing w:after="0" w:line="240" w:lineRule="auto"/>
              <w:rPr>
                <w:b/>
                <w:bCs/>
              </w:rPr>
            </w:pPr>
            <w:r>
              <w:t>The company name and business scope remain sensitive after redaction and should continue to be treated as confidential</w:t>
            </w:r>
          </w:p>
        </w:tc>
      </w:tr>
      <w:tr w14:paraId="7E32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dxa"/>
          </w:tcPr>
          <w:p w14:paraId="7768A61B">
            <w:pPr>
              <w:spacing w:after="0" w:line="240" w:lineRule="auto"/>
              <w:jc w:val="center"/>
              <w:rPr>
                <w:b/>
                <w:bCs/>
              </w:rPr>
            </w:pPr>
          </w:p>
        </w:tc>
        <w:tc>
          <w:tcPr>
            <w:tcW w:w="1635" w:type="dxa"/>
          </w:tcPr>
          <w:p w14:paraId="6CDCFAC3">
            <w:pPr>
              <w:spacing w:after="0" w:line="240" w:lineRule="auto"/>
              <w:jc w:val="center"/>
              <w:rPr>
                <w:b/>
                <w:bCs/>
              </w:rPr>
            </w:pPr>
          </w:p>
          <w:p w14:paraId="61917AE1">
            <w:pPr>
              <w:spacing w:after="0" w:line="240" w:lineRule="auto"/>
              <w:jc w:val="center"/>
              <w:rPr>
                <w:b/>
                <w:bCs/>
              </w:rPr>
            </w:pPr>
          </w:p>
          <w:p w14:paraId="04B959A4">
            <w:pPr>
              <w:spacing w:after="0" w:line="240" w:lineRule="auto"/>
              <w:jc w:val="center"/>
              <w:rPr>
                <w:b/>
                <w:bCs/>
              </w:rPr>
            </w:pPr>
          </w:p>
        </w:tc>
        <w:tc>
          <w:tcPr>
            <w:tcW w:w="1928" w:type="dxa"/>
          </w:tcPr>
          <w:p w14:paraId="55B0978F">
            <w:pPr>
              <w:spacing w:after="0" w:line="240" w:lineRule="auto"/>
              <w:jc w:val="center"/>
              <w:rPr>
                <w:b/>
                <w:bCs/>
              </w:rPr>
            </w:pPr>
          </w:p>
        </w:tc>
        <w:tc>
          <w:tcPr>
            <w:tcW w:w="2195" w:type="dxa"/>
          </w:tcPr>
          <w:p w14:paraId="72B31E84">
            <w:pPr>
              <w:spacing w:after="0" w:line="240" w:lineRule="auto"/>
              <w:jc w:val="center"/>
              <w:rPr>
                <w:b/>
                <w:bCs/>
              </w:rPr>
            </w:pPr>
          </w:p>
        </w:tc>
        <w:tc>
          <w:tcPr>
            <w:tcW w:w="2662" w:type="dxa"/>
          </w:tcPr>
          <w:p w14:paraId="5CA6986D">
            <w:pPr>
              <w:spacing w:after="0" w:line="240" w:lineRule="auto"/>
              <w:jc w:val="center"/>
              <w:rPr>
                <w:b/>
                <w:bCs/>
              </w:rPr>
            </w:pPr>
          </w:p>
        </w:tc>
      </w:tr>
      <w:tr w14:paraId="44434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dxa"/>
          </w:tcPr>
          <w:p w14:paraId="6F5DBDDB">
            <w:pPr>
              <w:spacing w:after="0" w:line="240" w:lineRule="auto"/>
              <w:jc w:val="center"/>
              <w:rPr>
                <w:b/>
                <w:bCs/>
              </w:rPr>
            </w:pPr>
          </w:p>
        </w:tc>
        <w:tc>
          <w:tcPr>
            <w:tcW w:w="1635" w:type="dxa"/>
          </w:tcPr>
          <w:p w14:paraId="705F4E16">
            <w:pPr>
              <w:spacing w:after="0" w:line="240" w:lineRule="auto"/>
              <w:jc w:val="center"/>
              <w:rPr>
                <w:b/>
                <w:bCs/>
              </w:rPr>
            </w:pPr>
          </w:p>
          <w:p w14:paraId="21AA0CD5">
            <w:pPr>
              <w:spacing w:after="0" w:line="240" w:lineRule="auto"/>
              <w:jc w:val="center"/>
              <w:rPr>
                <w:b/>
                <w:bCs/>
              </w:rPr>
            </w:pPr>
          </w:p>
          <w:p w14:paraId="7A497177">
            <w:pPr>
              <w:spacing w:after="0" w:line="240" w:lineRule="auto"/>
              <w:jc w:val="center"/>
              <w:rPr>
                <w:b/>
                <w:bCs/>
              </w:rPr>
            </w:pPr>
          </w:p>
        </w:tc>
        <w:tc>
          <w:tcPr>
            <w:tcW w:w="1928" w:type="dxa"/>
          </w:tcPr>
          <w:p w14:paraId="6E92EC9F">
            <w:pPr>
              <w:spacing w:after="0" w:line="240" w:lineRule="auto"/>
              <w:jc w:val="center"/>
              <w:rPr>
                <w:b/>
                <w:bCs/>
              </w:rPr>
            </w:pPr>
          </w:p>
        </w:tc>
        <w:tc>
          <w:tcPr>
            <w:tcW w:w="2195" w:type="dxa"/>
          </w:tcPr>
          <w:p w14:paraId="158C7C7C">
            <w:pPr>
              <w:spacing w:after="0" w:line="240" w:lineRule="auto"/>
              <w:jc w:val="center"/>
              <w:rPr>
                <w:b/>
                <w:bCs/>
              </w:rPr>
            </w:pPr>
          </w:p>
        </w:tc>
        <w:tc>
          <w:tcPr>
            <w:tcW w:w="2662" w:type="dxa"/>
          </w:tcPr>
          <w:p w14:paraId="49906A1A">
            <w:pPr>
              <w:spacing w:after="0" w:line="240" w:lineRule="auto"/>
              <w:jc w:val="center"/>
              <w:rPr>
                <w:b/>
                <w:bCs/>
              </w:rPr>
            </w:pPr>
          </w:p>
        </w:tc>
      </w:tr>
      <w:tr w14:paraId="10540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gridSpan w:val="5"/>
          </w:tcPr>
          <w:p w14:paraId="1A3D8D91">
            <w:pPr>
              <w:spacing w:after="160" w:line="278" w:lineRule="auto"/>
              <w:rPr>
                <w:b/>
                <w:bCs/>
              </w:rPr>
            </w:pPr>
            <w:r>
              <w:rPr>
                <w:b/>
                <w:bCs/>
              </w:rPr>
              <w:t>Notes:</w:t>
            </w:r>
          </w:p>
          <w:p w14:paraId="466CA68D">
            <w:pPr>
              <w:numPr>
                <w:ilvl w:val="0"/>
                <w:numId w:val="2"/>
              </w:numPr>
              <w:spacing w:after="160" w:line="278" w:lineRule="auto"/>
            </w:pPr>
            <w:r>
              <w:t>Please list all information carriers and specific content within the registration materials that require confidential treatment.</w:t>
            </w:r>
          </w:p>
          <w:p w14:paraId="513E55E0">
            <w:pPr>
              <w:numPr>
                <w:ilvl w:val="0"/>
                <w:numId w:val="2"/>
              </w:numPr>
              <w:spacing w:after="160" w:line="278" w:lineRule="auto"/>
            </w:pPr>
            <w:r>
              <w:t>Under "Redaction Method Applied," please specify the method used, such as masking, code substitution, range presentation, summarization, or other techniques.</w:t>
            </w:r>
          </w:p>
          <w:p w14:paraId="7B6FEFEB">
            <w:pPr>
              <w:numPr>
                <w:ilvl w:val="0"/>
                <w:numId w:val="2"/>
              </w:numPr>
              <w:spacing w:after="160" w:line="278" w:lineRule="auto"/>
            </w:pPr>
            <w:r>
              <w:t>If a document does not require confidential treatment, it need not be included in this table. If no confidential information exists, please indicate "None" in the table and affix the appropriate seal for confirmation.</w:t>
            </w:r>
          </w:p>
        </w:tc>
      </w:tr>
    </w:tbl>
    <w:p w14:paraId="45EA7F3D">
      <w:pPr>
        <w:jc w:val="center"/>
        <w:rPr>
          <w:b/>
          <w:bCs/>
        </w:rPr>
      </w:pPr>
    </w:p>
    <w:p w14:paraId="539B15C3">
      <w:pPr>
        <w:rPr>
          <w:b/>
          <w:bCs/>
        </w:rPr>
      </w:pPr>
      <w:r>
        <w:rPr>
          <w:b/>
          <w:bCs/>
        </w:rPr>
        <w:t>2. Self-Redaction of Documents</w:t>
      </w:r>
    </w:p>
    <w:p w14:paraId="0A791CAF">
      <w:r>
        <w:t xml:space="preserve">Please be advised that the confidential documents have been redacted in accordance with our internal confidentiality management requirements, as specified in the attached list. </w:t>
      </w:r>
      <w:r>
        <w:rPr>
          <w:rFonts w:hint="eastAsia"/>
        </w:rPr>
        <w:t xml:space="preserve"> </w:t>
      </w:r>
      <w:r>
        <w:t>Any documents that have not been redacted shall be deemed publicly disclosable materials.</w:t>
      </w:r>
    </w:p>
    <w:p w14:paraId="634E10A8">
      <w:pPr>
        <w:rPr>
          <w:b/>
          <w:bCs/>
        </w:rPr>
      </w:pPr>
      <w:r>
        <w:rPr>
          <w:b/>
          <w:bCs/>
        </w:rPr>
        <w:t>III. Miscellaneous</w:t>
      </w:r>
    </w:p>
    <w:p w14:paraId="248CEDB2">
      <w:r>
        <w:t xml:space="preserve">The interpretation of this Confidentiality Agreement and the resolution of any disputes arising therefrom shall be governed by the laws of the People’s Republic of China. Any dispute arising from this Confidentiality Agreement shall first be resolved through amicable consultation; if such consultation fails to resolve the dispute, it shall be referred to the </w:t>
      </w:r>
      <w:r>
        <w:rPr>
          <w:rFonts w:hint="eastAsia"/>
        </w:rPr>
        <w:t>Shenzhen Court of International Arbitration (SCIA)</w:t>
      </w:r>
      <w:r>
        <w:t xml:space="preserve"> for arbitration in accordance with its arbitration rules in force at the time.</w:t>
      </w:r>
    </w:p>
    <w:p w14:paraId="1A99CA26">
      <w:r>
        <w:t>This Confidentiality Letter shall become effective upon execution by the Disclosing Party.</w:t>
      </w:r>
    </w:p>
    <w:p w14:paraId="644D0892">
      <w:bookmarkStart w:id="0" w:name="_GoBack"/>
      <w:bookmarkEnd w:id="0"/>
    </w:p>
    <w:p w14:paraId="18ECC3FC">
      <w:r>
        <w:rPr>
          <w:b/>
          <w:bCs/>
        </w:rPr>
        <w:t>Disclosing Party (Company Seal):</w:t>
      </w:r>
      <w:r>
        <w:t xml:space="preserve"> ________________________________</w:t>
      </w:r>
    </w:p>
    <w:p w14:paraId="4E276C85">
      <w:r>
        <w:rPr>
          <w:b/>
          <w:bCs/>
        </w:rPr>
        <w:t>Entity / Individual:</w:t>
      </w:r>
      <w:r>
        <w:t xml:space="preserve"> ________________________________</w:t>
      </w:r>
    </w:p>
    <w:p w14:paraId="597AF937">
      <w:r>
        <w:rPr>
          <w:b/>
          <w:bCs/>
        </w:rPr>
        <w:t>Date:</w:t>
      </w:r>
      <w:r>
        <w:t xml:space="preserve"> ________________________________</w:t>
      </w:r>
    </w:p>
    <w:sectPr>
      <w:pgSz w:w="11906" w:h="16838"/>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Aptos Display">
    <w:altName w:val="Segoe UI Variable Display"/>
    <w:panose1 w:val="00000000000000000000"/>
    <w:charset w:val="00"/>
    <w:family w:val="swiss"/>
    <w:pitch w:val="default"/>
    <w:sig w:usb0="00000000" w:usb1="00000000" w:usb2="00000000" w:usb3="00000000" w:csb0="0000019F" w:csb1="00000000"/>
  </w:font>
  <w:font w:name="Segoe UI Variable Display">
    <w:panose1 w:val="00000000000000000000"/>
    <w:charset w:val="00"/>
    <w:family w:val="auto"/>
    <w:pitch w:val="default"/>
    <w:sig w:usb0="A00002FF" w:usb1="0000000B" w:usb2="00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31E14"/>
    <w:multiLevelType w:val="multilevel"/>
    <w:tmpl w:val="0BF31E1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74C156B7"/>
    <w:multiLevelType w:val="multilevel"/>
    <w:tmpl w:val="74C156B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7A1"/>
    <w:rsid w:val="001E684C"/>
    <w:rsid w:val="002D4055"/>
    <w:rsid w:val="009D07A1"/>
    <w:rsid w:val="009E095E"/>
    <w:rsid w:val="00F37337"/>
    <w:rsid w:val="00F82308"/>
    <w:rsid w:val="281F713E"/>
    <w:rsid w:val="4E1E1ADE"/>
    <w:rsid w:val="4E6902B6"/>
    <w:rsid w:val="60AD4B7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EastAsia" w:cstheme="minorBidi"/>
      <w:kern w:val="2"/>
      <w:sz w:val="24"/>
      <w:szCs w:val="24"/>
      <w:lang w:val="en-AU" w:eastAsia="zh-CN" w:bidi="ar-SA"/>
      <w14:ligatures w14:val="standardContextual"/>
    </w:rPr>
  </w:style>
  <w:style w:type="paragraph" w:styleId="2">
    <w:name w:val="heading 1"/>
    <w:basedOn w:val="1"/>
    <w:next w:val="1"/>
    <w:link w:val="17"/>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19"/>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0"/>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1"/>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2"/>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3"/>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6">
    <w:name w:val="Default Paragraph Font"/>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Subtitle"/>
    <w:basedOn w:val="1"/>
    <w:next w:val="1"/>
    <w:link w:val="27"/>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3">
    <w:name w:val="Title"/>
    <w:basedOn w:val="1"/>
    <w:next w:val="1"/>
    <w:link w:val="26"/>
    <w:qFormat/>
    <w:uiPriority w:val="10"/>
    <w:pPr>
      <w:spacing w:after="80" w:line="240" w:lineRule="auto"/>
      <w:contextualSpacing/>
    </w:pPr>
    <w:rPr>
      <w:rFonts w:asciiTheme="majorHAnsi" w:hAnsiTheme="majorHAnsi" w:eastAsiaTheme="majorEastAsia" w:cstheme="majorBidi"/>
      <w:spacing w:val="-10"/>
      <w:kern w:val="28"/>
      <w:sz w:val="56"/>
      <w:szCs w:val="56"/>
    </w:rPr>
  </w:style>
  <w:style w:type="table" w:styleId="15">
    <w:name w:val="Table Grid"/>
    <w:basedOn w:val="1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Heading 1 Char"/>
    <w:basedOn w:val="16"/>
    <w:link w:val="2"/>
    <w:qFormat/>
    <w:uiPriority w:val="9"/>
    <w:rPr>
      <w:rFonts w:asciiTheme="majorHAnsi" w:hAnsiTheme="majorHAnsi" w:eastAsiaTheme="majorEastAsia" w:cstheme="majorBidi"/>
      <w:color w:val="104862" w:themeColor="accent1" w:themeShade="BF"/>
      <w:sz w:val="40"/>
      <w:szCs w:val="40"/>
    </w:rPr>
  </w:style>
  <w:style w:type="character" w:customStyle="1" w:styleId="18">
    <w:name w:val="Heading 2 Char"/>
    <w:basedOn w:val="16"/>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19">
    <w:name w:val="Heading 3 Char"/>
    <w:basedOn w:val="16"/>
    <w:link w:val="4"/>
    <w:semiHidden/>
    <w:qFormat/>
    <w:uiPriority w:val="9"/>
    <w:rPr>
      <w:rFonts w:eastAsiaTheme="majorEastAsia" w:cstheme="majorBidi"/>
      <w:color w:val="104862" w:themeColor="accent1" w:themeShade="BF"/>
      <w:sz w:val="28"/>
      <w:szCs w:val="28"/>
    </w:rPr>
  </w:style>
  <w:style w:type="character" w:customStyle="1" w:styleId="20">
    <w:name w:val="Heading 4 Char"/>
    <w:basedOn w:val="16"/>
    <w:link w:val="5"/>
    <w:semiHidden/>
    <w:qFormat/>
    <w:uiPriority w:val="9"/>
    <w:rPr>
      <w:rFonts w:eastAsiaTheme="majorEastAsia" w:cstheme="majorBidi"/>
      <w:i/>
      <w:iCs/>
      <w:color w:val="104862" w:themeColor="accent1" w:themeShade="BF"/>
    </w:rPr>
  </w:style>
  <w:style w:type="character" w:customStyle="1" w:styleId="21">
    <w:name w:val="Heading 5 Char"/>
    <w:basedOn w:val="16"/>
    <w:link w:val="6"/>
    <w:semiHidden/>
    <w:qFormat/>
    <w:uiPriority w:val="9"/>
    <w:rPr>
      <w:rFonts w:eastAsiaTheme="majorEastAsia" w:cstheme="majorBidi"/>
      <w:color w:val="104862" w:themeColor="accent1" w:themeShade="BF"/>
    </w:rPr>
  </w:style>
  <w:style w:type="character" w:customStyle="1" w:styleId="22">
    <w:name w:val="Heading 6 Char"/>
    <w:basedOn w:val="16"/>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3">
    <w:name w:val="Heading 7 Char"/>
    <w:basedOn w:val="16"/>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Heading 8 Char"/>
    <w:basedOn w:val="16"/>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5">
    <w:name w:val="Heading 9 Char"/>
    <w:basedOn w:val="16"/>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6">
    <w:name w:val="Title Char"/>
    <w:basedOn w:val="16"/>
    <w:link w:val="13"/>
    <w:qFormat/>
    <w:uiPriority w:val="10"/>
    <w:rPr>
      <w:rFonts w:asciiTheme="majorHAnsi" w:hAnsiTheme="majorHAnsi" w:eastAsiaTheme="majorEastAsia" w:cstheme="majorBidi"/>
      <w:spacing w:val="-10"/>
      <w:kern w:val="28"/>
      <w:sz w:val="56"/>
      <w:szCs w:val="56"/>
    </w:rPr>
  </w:style>
  <w:style w:type="character" w:customStyle="1" w:styleId="27">
    <w:name w:val="Subtitle Char"/>
    <w:basedOn w:val="16"/>
    <w:link w:val="12"/>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Quote Char"/>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Intense Quote Char"/>
    <w:basedOn w:val="16"/>
    <w:link w:val="32"/>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Karara Mining LTD</Company>
  <Pages>3</Pages>
  <Words>665</Words>
  <Characters>4389</Characters>
  <Lines>116</Lines>
  <Paragraphs>47</Paragraphs>
  <TotalTime>141</TotalTime>
  <ScaleCrop>false</ScaleCrop>
  <LinksUpToDate>false</LinksUpToDate>
  <CharactersWithSpaces>5016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2026-06-04T06:43:00Z</dcterms:created>
  <dc:creator>Gaomai Trench</dc:creator>
  <cp:lastModifiedBy>胡纯晓</cp:lastModifiedBy>
  <dcterms:modified xsi:type="dcterms:W3CDTF">2026-06-11T05:56:27Z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eyJoZGlkIjoiNjE1NWY5NmNlN2Y1YmU3NjM1YzVhOGM5Y2RlNWY3MzAiLCJ1c2VySWQiOiIxMTc4MTI3MzEwIn0=</vt:lpwstr>
  </property>
  <property fmtid="{D5CDD505-2E9C-101B-9397-08002B2CF9AE}" pid="3" name="KSOProductBuildVer">
    <vt:lpwstr>2052-12.1.0.26895</vt:lpwstr>
  </property>
  <property fmtid="{D5CDD505-2E9C-101B-9397-08002B2CF9AE}" pid="4" name="ICV">
    <vt:lpwstr>E5975113B204445587BD120E1AB69C7B_12</vt:lpwstr>
  </property>
</Properties>
</file>